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  <w:t>件2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2023年度高校思想政治工作质量提升综合改革与精品建设项目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推荐汇总表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申报学校：（盖章）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826"/>
        <w:gridCol w:w="4530"/>
        <w:gridCol w:w="1980"/>
        <w:gridCol w:w="187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26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系统填报人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2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2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填表人：                                              联系方式：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200A"/>
    <w:rsid w:val="3D7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2022-10-27T10:29:00Z</dcterms:created>
  <dc:creator>uos</dc:creator>
  <cp:lastModifiedBy>uos</cp:lastModifiedBy>
  <dcterms:modified xsi:type="dcterms:W3CDTF">2022-10-27T10:43:30Z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